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2EB92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5" w:lineRule="atLeast"/>
        <w:ind w:left="0" w:right="0"/>
        <w:jc w:val="center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000000"/>
          <w:spacing w:val="0"/>
          <w:sz w:val="44"/>
          <w:szCs w:val="44"/>
          <w:bdr w:val="none" w:color="auto" w:sz="0" w:space="0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000000"/>
          <w:spacing w:val="0"/>
          <w:sz w:val="44"/>
          <w:szCs w:val="44"/>
          <w:bdr w:val="none" w:color="auto" w:sz="0" w:space="0"/>
        </w:rPr>
        <w:t>工业和信息化部办公厅关于</w:t>
      </w:r>
    </w:p>
    <w:p w14:paraId="0ED2958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5" w:lineRule="atLeast"/>
        <w:ind w:left="0" w:right="0"/>
        <w:jc w:val="center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000000"/>
          <w:spacing w:val="0"/>
          <w:sz w:val="44"/>
          <w:szCs w:val="44"/>
          <w:bdr w:val="none" w:color="auto" w:sz="0" w:space="0"/>
        </w:rPr>
        <w:t>分级打造中国消费名品方阵的通知</w:t>
      </w:r>
    </w:p>
    <w:p w14:paraId="4BA6FF1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18" w:lineRule="atLeast"/>
        <w:ind w:left="0" w:right="0"/>
        <w:jc w:val="left"/>
        <w:rPr>
          <w:rFonts w:hint="default" w:ascii="Times New Roman" w:hAnsi="Times New Roman" w:eastAsia="仿宋_GB2312" w:cs="Times New Roman"/>
          <w:i w:val="0"/>
          <w:i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bdr w:val="none" w:color="auto" w:sz="0" w:space="0"/>
        </w:rPr>
        <w:t>各省、自治区、直辖市及新疆生产建设兵团工业和信息化主管部门：</w:t>
      </w:r>
    </w:p>
    <w:p w14:paraId="51B2572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18" w:lineRule="atLeast"/>
        <w:ind w:left="0" w:right="0" w:firstLine="420"/>
        <w:jc w:val="left"/>
        <w:rPr>
          <w:rFonts w:hint="default" w:ascii="Times New Roman" w:hAnsi="Times New Roman" w:eastAsia="仿宋_GB2312" w:cs="Times New Roman"/>
          <w:i w:val="0"/>
          <w:i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bdr w:val="none" w:color="auto" w:sz="0" w:space="0"/>
        </w:rPr>
        <w:t>为全面贯彻党的二十届三中全会精神，加快落实全国新型工业化推进大会工作部署，根据《数字化助力消费品工业“三品”行动方案（2022—2025年）》（工信部联消费〔2022〕79号）要求，现组织开展中国消费名品方阵建设工作。有关事项通知如下：</w:t>
      </w:r>
    </w:p>
    <w:p w14:paraId="05EBC36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18" w:lineRule="atLeast"/>
        <w:ind w:left="0" w:right="0" w:firstLine="420"/>
        <w:jc w:val="left"/>
        <w:rPr>
          <w:rFonts w:hint="eastAsia" w:ascii="黑体" w:hAnsi="黑体" w:eastAsia="黑体" w:cs="黑体"/>
          <w:i w:val="0"/>
          <w:iCs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70707"/>
          <w:spacing w:val="0"/>
          <w:sz w:val="32"/>
          <w:szCs w:val="32"/>
          <w:bdr w:val="none" w:color="auto" w:sz="0" w:space="0"/>
        </w:rPr>
        <w:t>一、总体思路</w:t>
      </w:r>
    </w:p>
    <w:p w14:paraId="1DFAEC2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18" w:lineRule="atLeast"/>
        <w:ind w:left="0" w:right="0" w:firstLine="420"/>
        <w:jc w:val="left"/>
        <w:rPr>
          <w:rFonts w:hint="default" w:ascii="Times New Roman" w:hAnsi="Times New Roman" w:eastAsia="仿宋_GB2312" w:cs="Times New Roman"/>
          <w:i w:val="0"/>
          <w:i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bdr w:val="none" w:color="auto" w:sz="0" w:space="0"/>
        </w:rPr>
        <w:t>以习近平新时代中国特色社会主义思想为指导，深入贯彻党的二十大和二十届二中、三中全会精神，全面落实全国新型工业化推进大会部署，完整、准确、全面贯彻新发展理念，以因地制宜发展新质生产力为主线，系统谋划、部省联动、分级推进中国消费名品方阵建设。到2027年，初步构建品质至上、特色鲜明、产文融合的品牌体系，着力培育千件文化内涵丰富、全球认可度高的优质品牌，征集推广一批技术先进、成效显著、可复制易推广的“数字三品”应用场景典型案例，打造一批国际一流消费品企业和特色品牌。</w:t>
      </w:r>
    </w:p>
    <w:p w14:paraId="071DDFE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18" w:lineRule="atLeast"/>
        <w:ind w:left="0" w:right="0" w:firstLine="420"/>
        <w:jc w:val="left"/>
        <w:rPr>
          <w:rFonts w:hint="eastAsia" w:ascii="黑体" w:hAnsi="黑体" w:eastAsia="黑体" w:cs="黑体"/>
          <w:i w:val="0"/>
          <w:iCs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70707"/>
          <w:spacing w:val="0"/>
          <w:sz w:val="32"/>
          <w:szCs w:val="32"/>
          <w:bdr w:val="none" w:color="auto" w:sz="0" w:space="0"/>
        </w:rPr>
        <w:t>二、重点任务</w:t>
      </w:r>
    </w:p>
    <w:p w14:paraId="61E4E94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18" w:lineRule="atLeast"/>
        <w:ind w:left="0" w:right="0" w:firstLine="420"/>
        <w:jc w:val="left"/>
        <w:rPr>
          <w:rFonts w:hint="default" w:ascii="Times New Roman" w:hAnsi="Times New Roman" w:eastAsia="仿宋_GB2312" w:cs="Times New Roman"/>
          <w:i w:val="0"/>
          <w:i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i w:val="0"/>
          <w:iCs w:val="0"/>
          <w:caps w:val="0"/>
          <w:color w:val="070707"/>
          <w:spacing w:val="0"/>
          <w:sz w:val="32"/>
          <w:szCs w:val="32"/>
          <w:bdr w:val="none" w:color="auto" w:sz="0" w:space="0"/>
        </w:rPr>
        <w:t>（一）分级打造中国消费名品方阵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bdr w:val="none" w:color="auto" w:sz="0" w:space="0"/>
        </w:rPr>
        <w:t>。省级工业和信息化主管部门聚焦消费品产业特色优势，深入挖掘自主创新、品质高端、信誉良好的消费品牌，加快培育区域特色优势产业和优质品牌，积极构建本地区消费名品名录，定期向工业和信息化部择优推荐。工业和信息化部建立消费品牌评价机制，组织有关单位从产品创新力、市场竞争力、品牌影响力、文化赋能力等方面开展价值评价，分级打造中国消费名品方阵，分批向社会各界、海内外市场推介名品优品。</w:t>
      </w:r>
    </w:p>
    <w:p w14:paraId="2F9ED40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18" w:lineRule="atLeast"/>
        <w:ind w:left="0" w:right="0" w:firstLine="420"/>
        <w:jc w:val="left"/>
        <w:rPr>
          <w:rFonts w:hint="default" w:ascii="Times New Roman" w:hAnsi="Times New Roman" w:eastAsia="仿宋_GB2312" w:cs="Times New Roman"/>
          <w:i w:val="0"/>
          <w:i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i w:val="0"/>
          <w:iCs w:val="0"/>
          <w:caps w:val="0"/>
          <w:color w:val="070707"/>
          <w:spacing w:val="0"/>
          <w:sz w:val="32"/>
          <w:szCs w:val="32"/>
          <w:bdr w:val="none" w:color="auto" w:sz="0" w:space="0"/>
        </w:rPr>
        <w:t>（二）分类构建中国消费名品体系。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bdr w:val="none" w:color="auto" w:sz="0" w:space="0"/>
        </w:rPr>
        <w:t>从历史经典、时代优品、潮流新锐三个维度，构建以企业品牌和区域品牌为主体的中国消费名品体系。历史经典注重历史文化底蕴，是历史悠久、至今仍具有强大生命力和影响力的经典品牌；时代优品注重产品竞争力，是新中国成立以来质量过硬、美誉度高，在人民群众中影响深远的优质品牌；潮流新锐注重创意设计，是近年来出现的引领时代消费潮流的新兴品牌。区域品牌是产业特色鲜明、地域标识明显、行业认可度较高的地方优势品牌，一般以“地名+产品”命名。</w:t>
      </w:r>
    </w:p>
    <w:p w14:paraId="72EBE44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18" w:lineRule="atLeast"/>
        <w:ind w:left="0" w:right="0" w:firstLine="420"/>
        <w:jc w:val="left"/>
        <w:rPr>
          <w:rFonts w:hint="default" w:ascii="Times New Roman" w:hAnsi="Times New Roman" w:eastAsia="仿宋_GB2312" w:cs="Times New Roman"/>
          <w:i w:val="0"/>
          <w:i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i w:val="0"/>
          <w:iCs w:val="0"/>
          <w:caps w:val="0"/>
          <w:color w:val="070707"/>
          <w:spacing w:val="0"/>
          <w:sz w:val="32"/>
          <w:szCs w:val="32"/>
          <w:bdr w:val="none" w:color="auto" w:sz="0" w:space="0"/>
        </w:rPr>
        <w:t>（三）推广“数字三品”应用场景案例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bdr w:val="none" w:color="auto" w:sz="0" w:space="0"/>
        </w:rPr>
        <w:t>。面向智能家居、纺织服装、特色食品、智慧医药等重点行业，挖掘培育基于消费数据的智能仿真测款、柔性制造、数字营销等新模式新场景，加快推动数字技术在消费品领域融合应用。围绕增品种、提品质、创品牌三大方向，聚焦研发设计、生产制造、经营管理、用户服务等关键环节，遴选一批创新性强、推广价值高、示范效应明显的典型案例，推动实现资源数字化、生产柔性化、产业链协同化，提升消费品企业品种引领力、品质竞争力和品牌影响力。</w:t>
      </w:r>
    </w:p>
    <w:p w14:paraId="459AD0B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18" w:lineRule="atLeast"/>
        <w:ind w:left="0" w:right="0" w:firstLine="420"/>
        <w:jc w:val="left"/>
        <w:rPr>
          <w:rFonts w:hint="default" w:ascii="Times New Roman" w:hAnsi="Times New Roman" w:eastAsia="仿宋_GB2312" w:cs="Times New Roman"/>
          <w:i w:val="0"/>
          <w:i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i w:val="0"/>
          <w:iCs w:val="0"/>
          <w:caps w:val="0"/>
          <w:color w:val="070707"/>
          <w:spacing w:val="0"/>
          <w:sz w:val="32"/>
          <w:szCs w:val="32"/>
          <w:bdr w:val="none" w:color="auto" w:sz="0" w:space="0"/>
        </w:rPr>
        <w:t>（四）加快推进消费品文化赋能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bdr w:val="none" w:color="auto" w:sz="0" w:space="0"/>
        </w:rPr>
        <w:t>。深度挖掘产业品牌培育土壤和文化价值，加强现代设计与传统文化有机融合，推动行业、品牌、文化一体联动，实现“一行业一文化”“一品牌一经典”，打造文化价值丰富、主题活动多元、文创作品繁荣、品牌故事生动、个性标识鲜明的名品生态。依托全国工业旅游示范基地和精品路线，结合国潮、国漫、国风、国粹等文化元素，支持创新开发文化产品、设计打造文化空间、多元建设文化博物馆，树立具有行业特色的文化新地标，培育新时代消费品产业名片。</w:t>
      </w:r>
    </w:p>
    <w:p w14:paraId="5904324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18" w:lineRule="atLeast"/>
        <w:ind w:left="0" w:right="0" w:firstLine="420"/>
        <w:jc w:val="left"/>
        <w:rPr>
          <w:rFonts w:hint="default" w:ascii="Times New Roman" w:hAnsi="Times New Roman" w:eastAsia="仿宋_GB2312" w:cs="Times New Roman"/>
          <w:i w:val="0"/>
          <w:i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i w:val="0"/>
          <w:iCs w:val="0"/>
          <w:caps w:val="0"/>
          <w:color w:val="070707"/>
          <w:spacing w:val="0"/>
          <w:sz w:val="32"/>
          <w:szCs w:val="32"/>
          <w:bdr w:val="none" w:color="auto" w:sz="0" w:space="0"/>
        </w:rPr>
        <w:t>（五）组织开展消费名品全球传播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bdr w:val="none" w:color="auto" w:sz="0" w:space="0"/>
        </w:rPr>
        <w:t>。系统策划中国消费名品传播路径，通过品牌大使、出海路演、名品体验等“中国主题”活动，构建消费名品全球传播矩阵，有效传递中国声音和文化价值。依托目标市场国大型展览展示活动，结合当地文化背景和价值观念，加强与海外受众交流互鉴，通过文艺作品、影像视频等传播方式，“一品一策”讲好中国消费品牌故事。充分利用跨境电商平台、海外合作机构、新媒体集群，支持举办发布会、博览会、展销会，拓展海外传播途径和销售渠道，全方位展示中国品质优势和品牌魅力。</w:t>
      </w:r>
    </w:p>
    <w:p w14:paraId="04ABD34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18" w:lineRule="atLeast"/>
        <w:ind w:left="0" w:right="0" w:firstLine="420"/>
        <w:jc w:val="left"/>
        <w:rPr>
          <w:rFonts w:hint="default" w:ascii="Times New Roman" w:hAnsi="Times New Roman" w:eastAsia="仿宋_GB2312" w:cs="Times New Roman"/>
          <w:i w:val="0"/>
          <w:i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i w:val="0"/>
          <w:iCs w:val="0"/>
          <w:caps w:val="0"/>
          <w:color w:val="070707"/>
          <w:spacing w:val="0"/>
          <w:sz w:val="32"/>
          <w:szCs w:val="32"/>
          <w:bdr w:val="none" w:color="auto" w:sz="0" w:space="0"/>
        </w:rPr>
        <w:t>（六）建设中国消费名品公共服务系统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bdr w:val="none" w:color="auto" w:sz="0" w:space="0"/>
        </w:rPr>
        <w:t>。依托“中国消费品三品战略”信息系统，构建“三品”全国行调度网络，建设中国消费名品数据库，绘制特色优势产业地图，立体展示中国消费名品方阵建设成效。充分释放数据要素价值，研究洞察行业品牌发展趋势，支持消费新场景探索与应用、新模式创新与实践，推动产业链上下游协同发展。组织编制中国消费名品发展报告，总结中国消费名品方阵建设经验，推广交流有关地方、重点企业典型实践。</w:t>
      </w:r>
    </w:p>
    <w:p w14:paraId="2B91DEE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18" w:lineRule="atLeast"/>
        <w:ind w:left="0" w:right="0" w:firstLine="420"/>
        <w:jc w:val="left"/>
        <w:rPr>
          <w:rFonts w:hint="eastAsia" w:ascii="黑体" w:hAnsi="黑体" w:eastAsia="黑体" w:cs="黑体"/>
          <w:i w:val="0"/>
          <w:iCs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70707"/>
          <w:spacing w:val="0"/>
          <w:sz w:val="32"/>
          <w:szCs w:val="32"/>
          <w:bdr w:val="none" w:color="auto" w:sz="0" w:space="0"/>
        </w:rPr>
        <w:t>三、组织实施</w:t>
      </w:r>
    </w:p>
    <w:p w14:paraId="30979E1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18" w:lineRule="atLeast"/>
        <w:ind w:left="0" w:right="0" w:firstLine="420"/>
        <w:jc w:val="left"/>
        <w:rPr>
          <w:rFonts w:hint="default" w:ascii="Times New Roman" w:hAnsi="Times New Roman" w:eastAsia="仿宋_GB2312" w:cs="Times New Roman"/>
          <w:i w:val="0"/>
          <w:i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i w:val="0"/>
          <w:iCs w:val="0"/>
          <w:caps w:val="0"/>
          <w:color w:val="070707"/>
          <w:spacing w:val="0"/>
          <w:sz w:val="32"/>
          <w:szCs w:val="32"/>
          <w:bdr w:val="none" w:color="auto" w:sz="0" w:space="0"/>
        </w:rPr>
        <w:t>（一）组织培育创建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bdr w:val="none" w:color="auto" w:sz="0" w:space="0"/>
        </w:rPr>
        <w:t>。工业和信息化部统筹开展中国消费名品方阵建设工作，系统推进名品标准制定、典型案例推广、知名品牌培育等重点任务。省级工业和信息化主管部门制定本地区实施方案，明确发展路径、聚焦重点领域、强化政策支持，助力消费品工业高质量发展。各地在本地区消费名品方阵建设的基础上，按照《中国消费名品方阵推荐工作指引》（附件1），组织开展2024年推荐工作，并提交相关申报材料（附件3—5）。</w:t>
      </w:r>
    </w:p>
    <w:p w14:paraId="33AB5BC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18" w:lineRule="atLeast"/>
        <w:ind w:left="0" w:right="0" w:firstLine="420"/>
        <w:jc w:val="left"/>
        <w:rPr>
          <w:rFonts w:hint="default" w:ascii="Times New Roman" w:hAnsi="Times New Roman" w:eastAsia="仿宋_GB2312" w:cs="Times New Roman"/>
          <w:i w:val="0"/>
          <w:i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i w:val="0"/>
          <w:iCs w:val="0"/>
          <w:caps w:val="0"/>
          <w:color w:val="070707"/>
          <w:spacing w:val="0"/>
          <w:sz w:val="32"/>
          <w:szCs w:val="32"/>
          <w:bdr w:val="none" w:color="auto" w:sz="0" w:space="0"/>
        </w:rPr>
        <w:t>（二）强化政策支持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bdr w:val="none" w:color="auto" w:sz="0" w:space="0"/>
        </w:rPr>
        <w:t>。充分发挥各类政府引导基金和国家产融合作平台作用，引导金融资源精准对接名品企业融资需求，对中国消费名品方阵承载区域、重点企业提供支持。鼓励地方立足实际制定相应配套政策，支持企业加快数字化转型，积极开展各层次人才培养，鼓励企业积极参与消费品领域强制性国家标准、行业标准、团体标准制定，加快推动消费品标准国际化，加强标准实施效果应用评估。</w:t>
      </w:r>
    </w:p>
    <w:p w14:paraId="4C7DFCF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18" w:lineRule="atLeast"/>
        <w:ind w:left="0" w:right="0" w:firstLine="420"/>
        <w:jc w:val="left"/>
        <w:rPr>
          <w:rFonts w:hint="default" w:ascii="Times New Roman" w:hAnsi="Times New Roman" w:eastAsia="仿宋_GB2312" w:cs="Times New Roman"/>
          <w:i w:val="0"/>
          <w:i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i w:val="0"/>
          <w:iCs w:val="0"/>
          <w:caps w:val="0"/>
          <w:color w:val="070707"/>
          <w:spacing w:val="0"/>
          <w:sz w:val="32"/>
          <w:szCs w:val="32"/>
          <w:bdr w:val="none" w:color="auto" w:sz="0" w:space="0"/>
        </w:rPr>
        <w:t>（三）建立评价机制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bdr w:val="none" w:color="auto" w:sz="0" w:space="0"/>
        </w:rPr>
        <w:t>。工业和信息化部探索建立长效工作机制，统筹开展中国消费名品价值评价，组织编制中国消费名品建设评估报告。省级工业和信息化主管部门结合本地区实施方案，持续跟踪重点领域、重点品牌、重点企业，定期分析工作进展、推进措施以及工作成效，适时调整优化政策措施，加快培育行业领军企业和优质品牌。</w:t>
      </w:r>
    </w:p>
    <w:p w14:paraId="683C16C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18" w:lineRule="atLeast"/>
        <w:ind w:left="0" w:right="0" w:firstLine="420"/>
        <w:jc w:val="left"/>
        <w:rPr>
          <w:rFonts w:hint="default" w:ascii="Times New Roman" w:hAnsi="Times New Roman" w:eastAsia="仿宋_GB2312" w:cs="Times New Roman"/>
          <w:i w:val="0"/>
          <w:i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i w:val="0"/>
          <w:iCs w:val="0"/>
          <w:caps w:val="0"/>
          <w:color w:val="070707"/>
          <w:spacing w:val="0"/>
          <w:sz w:val="32"/>
          <w:szCs w:val="32"/>
          <w:bdr w:val="none" w:color="auto" w:sz="0" w:space="0"/>
        </w:rPr>
        <w:t>（四）加强动态管理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bdr w:val="none" w:color="auto" w:sz="0" w:space="0"/>
        </w:rPr>
        <w:t>。工业和信息化部对纳入中国消费名品方阵的单位定期开展评估复核，动态调整中国消费名品方阵名录，对建设成效好的单位加强宣传推广，对不再符合标准的单位取消相应资格。支持有条件的地方建立省、市两级名品目录，及时总结工作成效和典型经验，推动形成高水平建设的工作格局。鼓励地方积极对接各层级宣传媒体，通过名品推介、产业互动、海外推介等方式开展全方位推广交流，不断提升中国消费品牌国际竞争力。</w:t>
      </w:r>
    </w:p>
    <w:p w14:paraId="09B32CF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18" w:lineRule="atLeast"/>
        <w:ind w:left="0" w:right="0" w:firstLine="420"/>
        <w:jc w:val="left"/>
        <w:rPr>
          <w:rFonts w:hint="eastAsia" w:ascii="黑体" w:hAnsi="黑体" w:eastAsia="黑体" w:cs="黑体"/>
          <w:i w:val="0"/>
          <w:iCs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70707"/>
          <w:spacing w:val="0"/>
          <w:sz w:val="32"/>
          <w:szCs w:val="32"/>
          <w:bdr w:val="none" w:color="auto" w:sz="0" w:space="0"/>
        </w:rPr>
        <w:t>四、联系方式</w:t>
      </w:r>
    </w:p>
    <w:p w14:paraId="246988A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18" w:lineRule="atLeast"/>
        <w:ind w:left="0" w:right="0" w:firstLine="420"/>
        <w:jc w:val="left"/>
        <w:rPr>
          <w:rFonts w:hint="default" w:ascii="Times New Roman" w:hAnsi="Times New Roman" w:eastAsia="仿宋_GB2312" w:cs="Times New Roman"/>
          <w:i w:val="0"/>
          <w:i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bdr w:val="none" w:color="auto" w:sz="0" w:space="0"/>
        </w:rPr>
        <w:t>中国消费名品推荐工作</w:t>
      </w:r>
    </w:p>
    <w:p w14:paraId="43C2FEB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18" w:lineRule="atLeast"/>
        <w:ind w:left="0" w:right="0" w:firstLine="420"/>
        <w:jc w:val="left"/>
        <w:rPr>
          <w:rFonts w:hint="default" w:ascii="Times New Roman" w:hAnsi="Times New Roman" w:eastAsia="仿宋_GB2312" w:cs="Times New Roman"/>
          <w:i w:val="0"/>
          <w:i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bdr w:val="none" w:color="auto" w:sz="0" w:space="0"/>
        </w:rPr>
        <w:t>联系人及电话：宋其森 010-68205674</w:t>
      </w:r>
    </w:p>
    <w:p w14:paraId="076507C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18" w:lineRule="atLeast"/>
        <w:ind w:left="0" w:right="0" w:firstLine="420"/>
        <w:jc w:val="left"/>
        <w:rPr>
          <w:rFonts w:hint="default" w:ascii="Times New Roman" w:hAnsi="Times New Roman" w:eastAsia="仿宋_GB2312" w:cs="Times New Roman"/>
          <w:i w:val="0"/>
          <w:i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bdr w:val="none" w:color="auto" w:sz="0" w:space="0"/>
        </w:rPr>
        <w:t>                   董温彦 010-68209938 13466545922</w:t>
      </w:r>
    </w:p>
    <w:p w14:paraId="2EE88CF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18" w:lineRule="atLeast"/>
        <w:ind w:left="2559" w:leftChars="152" w:right="0" w:hanging="2240" w:hangingChars="700"/>
        <w:jc w:val="left"/>
        <w:rPr>
          <w:rFonts w:hint="default" w:ascii="Times New Roman" w:hAnsi="Times New Roman" w:eastAsia="仿宋_GB2312" w:cs="Times New Roman"/>
          <w:i w:val="0"/>
          <w:i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bdr w:val="none" w:color="auto" w:sz="0" w:space="0"/>
        </w:rPr>
        <w:t>材料寄送地址：北京市海淀区万寿路27号院15号楼工业文化发展中心</w:t>
      </w:r>
    </w:p>
    <w:p w14:paraId="091CD41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18" w:lineRule="atLeast"/>
        <w:ind w:left="0" w:right="0" w:firstLine="420"/>
        <w:jc w:val="left"/>
        <w:rPr>
          <w:rFonts w:hint="default" w:ascii="Times New Roman" w:hAnsi="Times New Roman" w:eastAsia="仿宋_GB2312" w:cs="Times New Roman"/>
          <w:i w:val="0"/>
          <w:i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bdr w:val="none" w:color="auto" w:sz="0" w:space="0"/>
        </w:rPr>
        <w:t>应用场景典型案例推荐工作</w:t>
      </w:r>
    </w:p>
    <w:p w14:paraId="0919B64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18" w:lineRule="atLeast"/>
        <w:ind w:left="0" w:right="0" w:firstLine="420"/>
        <w:jc w:val="left"/>
        <w:rPr>
          <w:rFonts w:hint="default" w:ascii="Times New Roman" w:hAnsi="Times New Roman" w:eastAsia="仿宋_GB2312" w:cs="Times New Roman"/>
          <w:i w:val="0"/>
          <w:i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bdr w:val="none" w:color="auto" w:sz="0" w:space="0"/>
        </w:rPr>
        <w:t>联系人及电话：宋其森 010-68205674</w:t>
      </w:r>
    </w:p>
    <w:p w14:paraId="4C4B374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18" w:lineRule="atLeast"/>
        <w:ind w:left="0" w:right="0" w:firstLine="420"/>
        <w:jc w:val="left"/>
        <w:rPr>
          <w:rFonts w:hint="default" w:ascii="Times New Roman" w:hAnsi="Times New Roman" w:eastAsia="仿宋_GB2312" w:cs="Times New Roman"/>
          <w:i w:val="0"/>
          <w:i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bdr w:val="none" w:color="auto" w:sz="0" w:space="0"/>
        </w:rPr>
        <w:t>                   王柯懿 010-60738452 18910154850</w:t>
      </w:r>
    </w:p>
    <w:p w14:paraId="646BF51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18" w:lineRule="atLeast"/>
        <w:ind w:left="2559" w:leftChars="152" w:right="0" w:hanging="2240" w:hangingChars="700"/>
        <w:jc w:val="left"/>
        <w:rPr>
          <w:rFonts w:hint="default" w:ascii="Times New Roman" w:hAnsi="Times New Roman" w:eastAsia="仿宋_GB2312" w:cs="Times New Roman"/>
          <w:i w:val="0"/>
          <w:i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bdr w:val="none" w:color="auto" w:sz="0" w:space="0"/>
        </w:rPr>
        <w:t>材料寄送地址：北京市昌平区定泗路11号赛迪产业园中国软件评测中心</w:t>
      </w:r>
    </w:p>
    <w:p w14:paraId="37FAB43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18" w:lineRule="atLeast"/>
        <w:ind w:left="0" w:right="0" w:firstLine="420"/>
        <w:jc w:val="left"/>
        <w:rPr>
          <w:rFonts w:hint="default" w:ascii="Times New Roman" w:hAnsi="Times New Roman" w:eastAsia="仿宋_GB2312" w:cs="Times New Roman"/>
          <w:i w:val="0"/>
          <w:iCs w:val="0"/>
          <w:sz w:val="32"/>
          <w:szCs w:val="32"/>
        </w:rPr>
      </w:pPr>
    </w:p>
    <w:p w14:paraId="5D6D3B8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18" w:lineRule="atLeast"/>
        <w:ind w:left="0" w:right="0" w:firstLine="420"/>
        <w:jc w:val="left"/>
        <w:rPr>
          <w:rFonts w:hint="default" w:ascii="Times New Roman" w:hAnsi="Times New Roman" w:eastAsia="仿宋_GB2312" w:cs="Times New Roman"/>
          <w:i w:val="0"/>
          <w:i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bdr w:val="none" w:color="auto" w:sz="0" w:space="0"/>
        </w:rPr>
        <w:t>附件：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</w:rPr>
        <w:fldChar w:fldCharType="begin"/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</w:rPr>
        <w:instrText xml:space="preserve"> HYPERLINK "https://www.miit.gov.cn/cms_files/filemanager/1226211233/attach/20249/13fee8e7897c4f1fab6119dcf2a1a195.wps" </w:instrTex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</w:rPr>
        <w:fldChar w:fldCharType="separate"/>
      </w:r>
      <w:r>
        <w:rPr>
          <w:rStyle w:val="6"/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</w:rPr>
        <w:t>1.中国消费名品方阵推荐工作指引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</w:rPr>
        <w:fldChar w:fldCharType="end"/>
      </w:r>
    </w:p>
    <w:p w14:paraId="7822826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18" w:lineRule="atLeast"/>
        <w:ind w:left="0" w:right="0" w:firstLine="420"/>
        <w:jc w:val="left"/>
        <w:rPr>
          <w:rFonts w:hint="default" w:ascii="Times New Roman" w:hAnsi="Times New Roman" w:eastAsia="仿宋_GB2312" w:cs="Times New Roman"/>
          <w:i w:val="0"/>
          <w:i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bdr w:val="none" w:color="auto" w:sz="0" w:space="0"/>
        </w:rPr>
        <w:t xml:space="preserve">        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</w:rPr>
        <w:fldChar w:fldCharType="begin"/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</w:rPr>
        <w:instrText xml:space="preserve"> HYPERLINK "https://www.miit.gov.cn/cms_files/filemanager/1226211233/attach/20249/eeb3df81f07049b78dd2fe55750c2ce4.wps" </w:instrTex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</w:rPr>
        <w:fldChar w:fldCharType="separate"/>
      </w:r>
      <w:r>
        <w:rPr>
          <w:rStyle w:val="6"/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</w:rPr>
        <w:t>2.中国消费名品方阵推荐数量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</w:rPr>
        <w:fldChar w:fldCharType="end"/>
      </w:r>
    </w:p>
    <w:p w14:paraId="70B1AB6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18" w:lineRule="atLeast"/>
        <w:ind w:left="0" w:right="0" w:firstLine="420"/>
        <w:jc w:val="left"/>
        <w:rPr>
          <w:rFonts w:hint="default" w:ascii="Times New Roman" w:hAnsi="Times New Roman" w:eastAsia="仿宋_GB2312" w:cs="Times New Roman"/>
          <w:i w:val="0"/>
          <w:i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bdr w:val="none" w:color="auto" w:sz="0" w:space="0"/>
        </w:rPr>
        <w:t>       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bdr w:val="none" w:color="auto" w:sz="0" w:space="0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bdr w:val="none" w:color="auto" w:sz="0" w:space="0"/>
        </w:rPr>
        <w:t> 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</w:rPr>
        <w:fldChar w:fldCharType="begin"/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</w:rPr>
        <w:instrText xml:space="preserve"> HYPERLINK "https://www.miit.gov.cn/cms_files/filemanager/1226211233/attach/20249/beba5e384420454b9d6913d1a38cc595.wps" </w:instrTex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</w:rPr>
        <w:fldChar w:fldCharType="separate"/>
      </w:r>
      <w:r>
        <w:rPr>
          <w:rStyle w:val="6"/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</w:rPr>
        <w:t>3.中国消费名品申报书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</w:rPr>
        <w:fldChar w:fldCharType="end"/>
      </w:r>
    </w:p>
    <w:p w14:paraId="09C6B9B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18" w:lineRule="atLeast"/>
        <w:ind w:left="0" w:right="0" w:firstLine="420"/>
        <w:jc w:val="left"/>
        <w:rPr>
          <w:rFonts w:hint="default" w:ascii="Times New Roman" w:hAnsi="Times New Roman" w:eastAsia="仿宋_GB2312" w:cs="Times New Roman"/>
          <w:i w:val="0"/>
          <w:i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bdr w:val="none" w:color="auto" w:sz="0" w:space="0"/>
        </w:rPr>
        <w:t>         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</w:rPr>
        <w:fldChar w:fldCharType="begin"/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</w:rPr>
        <w:instrText xml:space="preserve"> HYPERLINK "https://www.miit.gov.cn/cms_files/filemanager/1226211233/attach/20249/079ea577b4de4890aba2a8a070a250ff.wps" </w:instrTex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</w:rPr>
        <w:fldChar w:fldCharType="separate"/>
      </w:r>
      <w:r>
        <w:rPr>
          <w:rStyle w:val="6"/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</w:rPr>
        <w:t>4.“数字三品”应用场景典型案例申报书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</w:rPr>
        <w:fldChar w:fldCharType="end"/>
      </w:r>
    </w:p>
    <w:p w14:paraId="3EBF881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18" w:lineRule="atLeast"/>
        <w:ind w:left="0" w:right="0" w:firstLine="420"/>
        <w:jc w:val="left"/>
        <w:rPr>
          <w:rFonts w:hint="default" w:ascii="Times New Roman" w:hAnsi="Times New Roman" w:eastAsia="仿宋_GB2312" w:cs="Times New Roman"/>
          <w:i w:val="0"/>
          <w:i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bdr w:val="none" w:color="auto" w:sz="0" w:space="0"/>
        </w:rPr>
        <w:t>         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</w:rPr>
        <w:fldChar w:fldCharType="begin"/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</w:rPr>
        <w:instrText xml:space="preserve"> HYPERLINK "https://www.miit.gov.cn/cms_files/filemanager/1226211233/attach/20249/a30e89239d8b4e1a82029d5daa611873.wps" </w:instrTex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</w:rPr>
        <w:fldChar w:fldCharType="separate"/>
      </w:r>
      <w:r>
        <w:rPr>
          <w:rStyle w:val="6"/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</w:rPr>
        <w:t>5.中国消费名品方阵推荐汇总表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</w:rPr>
        <w:fldChar w:fldCharType="end"/>
      </w:r>
    </w:p>
    <w:p w14:paraId="1D1ADE4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18" w:lineRule="atLeast"/>
        <w:ind w:left="0" w:right="0" w:firstLine="420"/>
        <w:jc w:val="right"/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bdr w:val="none" w:color="auto" w:sz="0" w:space="0"/>
        </w:rPr>
      </w:pPr>
    </w:p>
    <w:p w14:paraId="0CB7415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18" w:lineRule="atLeast"/>
        <w:ind w:left="0" w:right="0" w:firstLine="420"/>
        <w:jc w:val="right"/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bdr w:val="none" w:color="auto" w:sz="0" w:space="0"/>
        </w:rPr>
      </w:pPr>
    </w:p>
    <w:p w14:paraId="2D5E975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18" w:lineRule="atLeast"/>
        <w:ind w:left="0" w:right="0" w:firstLine="420"/>
        <w:jc w:val="right"/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bdr w:val="none" w:color="auto" w:sz="0" w:space="0"/>
        </w:rPr>
      </w:pPr>
    </w:p>
    <w:p w14:paraId="661814A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18" w:lineRule="atLeast"/>
        <w:ind w:left="0" w:right="0" w:firstLine="420"/>
        <w:jc w:val="right"/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bdr w:val="none" w:color="auto" w:sz="0" w:space="0"/>
        </w:rPr>
      </w:pPr>
    </w:p>
    <w:p w14:paraId="3FC97A0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18" w:lineRule="atLeast"/>
        <w:ind w:left="0" w:right="0" w:firstLine="420"/>
        <w:jc w:val="right"/>
        <w:rPr>
          <w:rFonts w:hint="default" w:ascii="Times New Roman" w:hAnsi="Times New Roman" w:eastAsia="仿宋_GB2312" w:cs="Times New Roman"/>
          <w:i w:val="0"/>
          <w:iCs w:val="0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bdr w:val="none" w:color="auto" w:sz="0" w:space="0"/>
        </w:rPr>
        <w:t>工业和信息化部办公厅   </w:t>
      </w:r>
    </w:p>
    <w:p w14:paraId="1784ECD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18" w:lineRule="atLeast"/>
        <w:ind w:left="0" w:right="0" w:firstLine="420"/>
        <w:jc w:val="right"/>
        <w:rPr>
          <w:rFonts w:hint="default" w:ascii="Times New Roman" w:hAnsi="Times New Roman" w:eastAsia="仿宋_GB2312" w:cs="Times New Roman"/>
          <w:i w:val="0"/>
          <w:i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bdr w:val="none" w:color="auto" w:sz="0" w:space="0"/>
        </w:rPr>
        <w:t>2024年9月29日  </w:t>
      </w:r>
    </w:p>
    <w:p w14:paraId="44D930C5"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汉仪青云简">
    <w:panose1 w:val="00020600040101010101"/>
    <w:charset w:val="86"/>
    <w:family w:val="auto"/>
    <w:pitch w:val="default"/>
    <w:sig w:usb0="8000001F" w:usb1="1A0F781A" w:usb2="00000016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5MGI3ZTYxZGVhODZlOWQ1OWMxYzU4MzFlMjc0MzAifQ=="/>
  </w:docVars>
  <w:rsids>
    <w:rsidRoot w:val="00000000"/>
    <w:rsid w:val="19414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2024-10-21T09:55:35Z</dcterms:created>
  <dc:creator>86159</dc:creator>
  <cp:lastModifiedBy>86159</cp:lastModifiedBy>
  <dcterms:modified xsi:type="dcterms:W3CDTF">2024-10-21T10:01:38Z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02B8495779ED448593FB10479C275B41_12</vt:lpwstr>
  </property>
</Properties>
</file>